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pacing w:val="2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4"/>
          <w:sz w:val="44"/>
          <w:szCs w:val="44"/>
        </w:rPr>
        <w:fldChar w:fldCharType="begin"/>
      </w:r>
      <w:r>
        <w:rPr>
          <w:rFonts w:hint="eastAsia" w:ascii="宋体" w:hAnsi="宋体" w:eastAsia="宋体" w:cs="宋体"/>
          <w:b/>
          <w:bCs/>
          <w:spacing w:val="24"/>
          <w:sz w:val="44"/>
          <w:szCs w:val="44"/>
        </w:rPr>
        <w:instrText xml:space="preserve"> HYPERLINK "javascript:void(0)" </w:instrText>
      </w:r>
      <w:r>
        <w:rPr>
          <w:rFonts w:hint="eastAsia" w:ascii="宋体" w:hAnsi="宋体" w:eastAsia="宋体" w:cs="宋体"/>
          <w:b/>
          <w:bCs/>
          <w:spacing w:val="24"/>
          <w:sz w:val="44"/>
          <w:szCs w:val="44"/>
        </w:rPr>
        <w:fldChar w:fldCharType="separate"/>
      </w:r>
      <w:r>
        <w:rPr>
          <w:rFonts w:hint="eastAsia" w:ascii="宋体" w:hAnsi="宋体" w:eastAsia="宋体" w:cs="宋体"/>
          <w:b/>
          <w:bCs/>
          <w:spacing w:val="24"/>
          <w:sz w:val="44"/>
          <w:szCs w:val="44"/>
        </w:rPr>
        <w:t>服务器虚拟化平台运维</w:t>
      </w:r>
      <w:r>
        <w:rPr>
          <w:rFonts w:hint="eastAsia" w:ascii="宋体" w:hAnsi="宋体" w:eastAsia="宋体" w:cs="宋体"/>
          <w:b/>
          <w:bCs/>
          <w:spacing w:val="24"/>
          <w:sz w:val="44"/>
          <w:szCs w:val="44"/>
        </w:rPr>
        <w:fldChar w:fldCharType="end"/>
      </w:r>
    </w:p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pacing w:val="24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4"/>
          <w:sz w:val="44"/>
          <w:szCs w:val="44"/>
          <w:lang w:eastAsia="zh-CN"/>
        </w:rPr>
        <w:t>项目询价文件</w:t>
      </w:r>
      <w:bookmarkStart w:id="0" w:name="_GoBack"/>
      <w:bookmarkEnd w:id="0"/>
    </w:p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pacing w:val="24"/>
          <w:sz w:val="44"/>
          <w:szCs w:val="44"/>
          <w:lang w:eastAsia="zh-CN"/>
        </w:rPr>
      </w:pPr>
    </w:p>
    <w:p>
      <w:pPr>
        <w:numPr>
          <w:ilvl w:val="0"/>
          <w:numId w:val="1"/>
        </w:numPr>
        <w:spacing w:line="220" w:lineRule="atLeast"/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eastAsia="zh-CN"/>
        </w:rPr>
        <w:t>采购内容</w:t>
      </w:r>
    </w:p>
    <w:tbl>
      <w:tblPr>
        <w:tblStyle w:val="3"/>
        <w:tblpPr w:leftFromText="180" w:rightFromText="180" w:vertAnchor="page" w:horzAnchor="page" w:tblpX="1673" w:tblpY="4555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41"/>
        <w:gridCol w:w="4875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541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4875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服务内容</w:t>
            </w:r>
          </w:p>
        </w:tc>
        <w:tc>
          <w:tcPr>
            <w:tcW w:w="2149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网络纯人工服务</w:t>
            </w:r>
          </w:p>
        </w:tc>
        <w:tc>
          <w:tcPr>
            <w:tcW w:w="4875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</w:rPr>
              <w:t>公司网络设备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硬件故障诊断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</w:rPr>
              <w:t>，整体网络运维服务</w:t>
            </w:r>
          </w:p>
        </w:tc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41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虚拟化运维服务</w:t>
            </w:r>
          </w:p>
        </w:tc>
        <w:tc>
          <w:tcPr>
            <w:tcW w:w="4875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常规健康巡检服务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  <w:t>虚拟化系统服务</w:t>
            </w:r>
          </w:p>
        </w:tc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1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eastAsia="zh-CN"/>
              </w:rPr>
              <w:t>存储服务器控制器维修</w:t>
            </w:r>
          </w:p>
        </w:tc>
        <w:tc>
          <w:tcPr>
            <w:tcW w:w="4875" w:type="dxa"/>
            <w:vAlign w:val="bottom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</w:rPr>
              <w:t>HDS存储服务器一个控制器故障维修</w:t>
            </w:r>
          </w:p>
        </w:tc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6416" w:type="dxa"/>
            <w:gridSpan w:val="2"/>
            <w:vAlign w:val="bottom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</w:rPr>
              <w:t>总计:</w:t>
            </w:r>
          </w:p>
        </w:tc>
        <w:tc>
          <w:tcPr>
            <w:tcW w:w="21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</w:tbl>
    <w:p>
      <w:pPr>
        <w:numPr>
          <w:numId w:val="0"/>
        </w:numPr>
        <w:adjustRightInd w:val="0"/>
        <w:snapToGrid w:val="0"/>
        <w:spacing w:after="200" w:line="220" w:lineRule="atLeast"/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2"/>
          <w:szCs w:val="32"/>
          <w:lang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after="200" w:line="220" w:lineRule="atLeast"/>
        <w:ind w:left="0" w:leftChars="0" w:firstLine="0" w:firstLineChars="0"/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eastAsia="zh-CN"/>
        </w:rPr>
        <w:t>服务商营业执照及相关资质材料</w:t>
      </w:r>
    </w:p>
    <w:p>
      <w:pPr>
        <w:numPr>
          <w:numId w:val="0"/>
        </w:numPr>
        <w:adjustRightInd w:val="0"/>
        <w:snapToGrid w:val="0"/>
        <w:spacing w:after="200" w:line="220" w:lineRule="atLeast"/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eastAsia="zh-CN"/>
        </w:rPr>
      </w:pPr>
    </w:p>
    <w:p>
      <w:pPr>
        <w:numPr>
          <w:numId w:val="0"/>
        </w:numPr>
        <w:adjustRightInd w:val="0"/>
        <w:snapToGrid w:val="0"/>
        <w:spacing w:after="200" w:line="220" w:lineRule="atLeast"/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eastAsia="zh-CN"/>
        </w:rPr>
      </w:pPr>
    </w:p>
    <w:p>
      <w:pPr>
        <w:numPr>
          <w:numId w:val="0"/>
        </w:numPr>
        <w:adjustRightInd w:val="0"/>
        <w:snapToGrid w:val="0"/>
        <w:spacing w:after="200" w:line="220" w:lineRule="atLeast"/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eastAsia="zh-CN"/>
        </w:rPr>
      </w:pPr>
    </w:p>
    <w:p>
      <w:pPr>
        <w:numPr>
          <w:numId w:val="0"/>
        </w:numPr>
        <w:adjustRightInd w:val="0"/>
        <w:snapToGrid w:val="0"/>
        <w:spacing w:after="200" w:line="220" w:lineRule="atLeast"/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eastAsia="zh-CN"/>
        </w:rPr>
      </w:pPr>
    </w:p>
    <w:p>
      <w:pPr>
        <w:numPr>
          <w:numId w:val="0"/>
        </w:numPr>
        <w:adjustRightInd w:val="0"/>
        <w:snapToGrid w:val="0"/>
        <w:spacing w:after="200" w:line="220" w:lineRule="atLeast"/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val="en-US" w:eastAsia="zh-CN"/>
        </w:rPr>
        <w:t xml:space="preserve">                                 公司名称（盖章）</w:t>
      </w:r>
    </w:p>
    <w:p>
      <w:pPr>
        <w:numPr>
          <w:numId w:val="0"/>
        </w:numPr>
        <w:adjustRightInd w:val="0"/>
        <w:snapToGrid w:val="0"/>
        <w:spacing w:after="200" w:line="220" w:lineRule="atLeast"/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after="200" w:line="220" w:lineRule="atLeast"/>
        <w:rPr>
          <w:rFonts w:hint="default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24"/>
          <w:sz w:val="30"/>
          <w:szCs w:val="30"/>
          <w:lang w:val="en-US" w:eastAsia="zh-CN"/>
        </w:rPr>
        <w:t xml:space="preserve">                                  2026年 月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12D2"/>
    <w:multiLevelType w:val="singleLevel"/>
    <w:tmpl w:val="088D12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ED5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江伟</cp:lastModifiedBy>
  <dcterms:modified xsi:type="dcterms:W3CDTF">2026-04-01T06:24:01Z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7DDBCDF73E2E4490ACD3DDB9E68534A6</vt:lpwstr>
  </property>
</Properties>
</file>